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062" w:rsidRPr="00776062" w:rsidRDefault="00776062" w:rsidP="00776062">
      <w:pPr>
        <w:shd w:val="clear" w:color="auto" w:fill="FFFFFF"/>
        <w:spacing w:before="120" w:line="240" w:lineRule="auto"/>
        <w:outlineLvl w:val="1"/>
        <w:rPr>
          <w:rFonts w:ascii="Arial" w:eastAsia="Times New Roman" w:hAnsi="Arial" w:cs="Arial"/>
          <w:b/>
          <w:bCs/>
          <w:color w:val="333333"/>
          <w:sz w:val="36"/>
          <w:szCs w:val="36"/>
          <w:lang w:eastAsia="ru-RU"/>
        </w:rPr>
      </w:pPr>
      <w:r w:rsidRPr="00776062">
        <w:rPr>
          <w:rFonts w:ascii="Arial" w:eastAsia="Times New Roman" w:hAnsi="Arial" w:cs="Arial"/>
          <w:b/>
          <w:bCs/>
          <w:color w:val="333333"/>
          <w:sz w:val="36"/>
          <w:szCs w:val="36"/>
          <w:lang w:eastAsia="ru-RU"/>
        </w:rPr>
        <w:t>ОЦЕНКА ПРОФЕССИОНАЛЬНЫХ РИСКОВ</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Сегодня все больше слышится разговоров о том, что будущее охраны труда — это оценка рисков. </w:t>
      </w:r>
      <w:proofErr w:type="gramStart"/>
      <w:r w:rsidRPr="00776062">
        <w:rPr>
          <w:rFonts w:ascii="Arial" w:eastAsia="Times New Roman" w:hAnsi="Arial" w:cs="Arial"/>
          <w:color w:val="333333"/>
          <w:sz w:val="21"/>
          <w:szCs w:val="21"/>
          <w:lang w:eastAsia="ru-RU"/>
        </w:rPr>
        <w:t>Безусловно</w:t>
      </w:r>
      <w:proofErr w:type="gramEnd"/>
      <w:r w:rsidRPr="00776062">
        <w:rPr>
          <w:rFonts w:ascii="Arial" w:eastAsia="Times New Roman" w:hAnsi="Arial" w:cs="Arial"/>
          <w:color w:val="333333"/>
          <w:sz w:val="21"/>
          <w:szCs w:val="21"/>
          <w:lang w:eastAsia="ru-RU"/>
        </w:rPr>
        <w:t xml:space="preserve"> это правильно, но тем, кто работает не в высоких кабинетах министерств, а на «земле» до конца не ясно что же делать с оценкой риска. </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Обязательна эта процедура или еще нет? Если обязательна, </w:t>
      </w:r>
      <w:proofErr w:type="gramStart"/>
      <w:r w:rsidRPr="00776062">
        <w:rPr>
          <w:rFonts w:ascii="Arial" w:eastAsia="Times New Roman" w:hAnsi="Arial" w:cs="Arial"/>
          <w:color w:val="333333"/>
          <w:sz w:val="21"/>
          <w:szCs w:val="21"/>
          <w:lang w:eastAsia="ru-RU"/>
        </w:rPr>
        <w:t>то</w:t>
      </w:r>
      <w:proofErr w:type="gramEnd"/>
      <w:r w:rsidRPr="00776062">
        <w:rPr>
          <w:rFonts w:ascii="Arial" w:eastAsia="Times New Roman" w:hAnsi="Arial" w:cs="Arial"/>
          <w:color w:val="333333"/>
          <w:sz w:val="21"/>
          <w:szCs w:val="21"/>
          <w:lang w:eastAsia="ru-RU"/>
        </w:rPr>
        <w:t xml:space="preserve"> какими документами регламентирована? Можно ли сделать оценку риска самим или для этого обязательно нужно нанять стороннюю компанию? Вот на эти вопросы мы постараемся ответить (по крайней мере, по состоянию государственного нормативного регулирования на дату написания этой статьи, а именно февраль 2018)</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8"/>
          <w:lang w:eastAsia="ru-RU"/>
        </w:rPr>
        <w:t>Нормативное регулирование</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Нужно дождаться весны, чтобы увидеть запланированные изменения в 10 главе Трудового кодекса, которые обещают нам новые требования, по систематической оценке рисков работодателем. </w:t>
      </w:r>
      <w:r w:rsidRPr="00776062">
        <w:rPr>
          <w:rFonts w:ascii="Arial" w:eastAsia="Times New Roman" w:hAnsi="Arial" w:cs="Arial"/>
          <w:color w:val="333333"/>
          <w:sz w:val="21"/>
          <w:szCs w:val="21"/>
          <w:lang w:eastAsia="ru-RU"/>
        </w:rPr>
        <w:br/>
        <w:t>Однако уже сейчас мы уже имеем дело с требованиями к оценке вероятности свершения негативных событий. А для многих компаний это уже давно пройденный этап.</w:t>
      </w:r>
      <w:r w:rsidRPr="00776062">
        <w:rPr>
          <w:rFonts w:ascii="Arial" w:eastAsia="Times New Roman" w:hAnsi="Arial" w:cs="Arial"/>
          <w:color w:val="333333"/>
          <w:sz w:val="21"/>
          <w:szCs w:val="21"/>
          <w:lang w:eastAsia="ru-RU"/>
        </w:rPr>
        <w:br/>
        <w:t xml:space="preserve">Во-первых, это всем привычная специальная оценка условий труда (СОУТ). Класс условий труда есть не что иное как риск развития у работника профессионального заболевания. Механизм проведения </w:t>
      </w:r>
      <w:proofErr w:type="spellStart"/>
      <w:r w:rsidRPr="00776062">
        <w:rPr>
          <w:rFonts w:ascii="Arial" w:eastAsia="Times New Roman" w:hAnsi="Arial" w:cs="Arial"/>
          <w:color w:val="333333"/>
          <w:sz w:val="21"/>
          <w:szCs w:val="21"/>
          <w:lang w:eastAsia="ru-RU"/>
        </w:rPr>
        <w:t>спецоценки</w:t>
      </w:r>
      <w:proofErr w:type="spellEnd"/>
      <w:r w:rsidRPr="00776062">
        <w:rPr>
          <w:rFonts w:ascii="Arial" w:eastAsia="Times New Roman" w:hAnsi="Arial" w:cs="Arial"/>
          <w:color w:val="333333"/>
          <w:sz w:val="21"/>
          <w:szCs w:val="21"/>
          <w:lang w:eastAsia="ru-RU"/>
        </w:rPr>
        <w:t xml:space="preserve"> достаточно близок к классическому способу оценки рисков. Общими являются следующие процессы: Идентификация опасностей; Обоснование, планирование и финансирование мероприятий по улучшению условий труда; Информирование работников об условиях труда; Накопление статистических данных об условиях труда; Включение в трудовой договор характеристики условий труда; Коллективная работа (комиссия по СОУТ, оценочная команда при оценивании рисков).</w:t>
      </w:r>
      <w:r w:rsidRPr="00776062">
        <w:rPr>
          <w:rFonts w:ascii="Arial" w:eastAsia="Times New Roman" w:hAnsi="Arial" w:cs="Arial"/>
          <w:color w:val="333333"/>
          <w:sz w:val="21"/>
          <w:szCs w:val="21"/>
          <w:lang w:eastAsia="ru-RU"/>
        </w:rPr>
        <w:br/>
        <w:t xml:space="preserve">Самое существенное отличие СОУТ от оценки рисков, </w:t>
      </w:r>
      <w:proofErr w:type="gramStart"/>
      <w:r w:rsidRPr="00776062">
        <w:rPr>
          <w:rFonts w:ascii="Arial" w:eastAsia="Times New Roman" w:hAnsi="Arial" w:cs="Arial"/>
          <w:color w:val="333333"/>
          <w:sz w:val="21"/>
          <w:szCs w:val="21"/>
          <w:lang w:eastAsia="ru-RU"/>
        </w:rPr>
        <w:t>которое</w:t>
      </w:r>
      <w:proofErr w:type="gramEnd"/>
      <w:r w:rsidRPr="00776062">
        <w:rPr>
          <w:rFonts w:ascii="Arial" w:eastAsia="Times New Roman" w:hAnsi="Arial" w:cs="Arial"/>
          <w:color w:val="333333"/>
          <w:sz w:val="21"/>
          <w:szCs w:val="21"/>
          <w:lang w:eastAsia="ru-RU"/>
        </w:rPr>
        <w:t xml:space="preserve"> по сути выводит </w:t>
      </w:r>
      <w:proofErr w:type="spellStart"/>
      <w:r w:rsidRPr="00776062">
        <w:rPr>
          <w:rFonts w:ascii="Arial" w:eastAsia="Times New Roman" w:hAnsi="Arial" w:cs="Arial"/>
          <w:color w:val="333333"/>
          <w:sz w:val="21"/>
          <w:szCs w:val="21"/>
          <w:lang w:eastAsia="ru-RU"/>
        </w:rPr>
        <w:t>спецоценку</w:t>
      </w:r>
      <w:proofErr w:type="spellEnd"/>
      <w:r w:rsidRPr="00776062">
        <w:rPr>
          <w:rFonts w:ascii="Arial" w:eastAsia="Times New Roman" w:hAnsi="Arial" w:cs="Arial"/>
          <w:color w:val="333333"/>
          <w:sz w:val="21"/>
          <w:szCs w:val="21"/>
          <w:lang w:eastAsia="ru-RU"/>
        </w:rPr>
        <w:t xml:space="preserve"> из понятия управления риском, это статичность данной процедуры (периодичность проведения СОУТ 1 раз в 5 лет). </w:t>
      </w:r>
      <w:proofErr w:type="gramStart"/>
      <w:r w:rsidRPr="00776062">
        <w:rPr>
          <w:rFonts w:ascii="Arial" w:eastAsia="Times New Roman" w:hAnsi="Arial" w:cs="Arial"/>
          <w:color w:val="333333"/>
          <w:sz w:val="21"/>
          <w:szCs w:val="21"/>
          <w:lang w:eastAsia="ru-RU"/>
        </w:rPr>
        <w:t>Но</w:t>
      </w:r>
      <w:proofErr w:type="gramEnd"/>
      <w:r w:rsidRPr="00776062">
        <w:rPr>
          <w:rFonts w:ascii="Arial" w:eastAsia="Times New Roman" w:hAnsi="Arial" w:cs="Arial"/>
          <w:color w:val="333333"/>
          <w:sz w:val="21"/>
          <w:szCs w:val="21"/>
          <w:lang w:eastAsia="ru-RU"/>
        </w:rPr>
        <w:t xml:space="preserve"> тем не менее при оценке рисков обязательно учитываются результаты специальной оценки.</w:t>
      </w:r>
      <w:r w:rsidRPr="00776062">
        <w:rPr>
          <w:rFonts w:ascii="Arial" w:eastAsia="Times New Roman" w:hAnsi="Arial" w:cs="Arial"/>
          <w:color w:val="333333"/>
          <w:sz w:val="21"/>
          <w:szCs w:val="21"/>
          <w:lang w:eastAsia="ru-RU"/>
        </w:rPr>
        <w:br/>
        <w:t xml:space="preserve">Во-вторых, для понимания обязаны мы делать что-то по охране труда или это только рекомендованная процедура, мы уже можем обратиться к </w:t>
      </w:r>
      <w:proofErr w:type="spellStart"/>
      <w:proofErr w:type="gramStart"/>
      <w:r w:rsidRPr="00776062">
        <w:rPr>
          <w:rFonts w:ascii="Arial" w:eastAsia="Times New Roman" w:hAnsi="Arial" w:cs="Arial"/>
          <w:color w:val="333333"/>
          <w:sz w:val="21"/>
          <w:szCs w:val="21"/>
          <w:lang w:eastAsia="ru-RU"/>
        </w:rPr>
        <w:t>чек-листам</w:t>
      </w:r>
      <w:proofErr w:type="spellEnd"/>
      <w:proofErr w:type="gramEnd"/>
      <w:r w:rsidRPr="00776062">
        <w:rPr>
          <w:rFonts w:ascii="Arial" w:eastAsia="Times New Roman" w:hAnsi="Arial" w:cs="Arial"/>
          <w:color w:val="333333"/>
          <w:sz w:val="21"/>
          <w:szCs w:val="21"/>
          <w:lang w:eastAsia="ru-RU"/>
        </w:rPr>
        <w:t>.</w:t>
      </w:r>
      <w:r w:rsidRPr="00776062">
        <w:rPr>
          <w:rFonts w:ascii="Arial" w:eastAsia="Times New Roman" w:hAnsi="Arial" w:cs="Arial"/>
          <w:color w:val="333333"/>
          <w:sz w:val="21"/>
          <w:szCs w:val="21"/>
          <w:lang w:eastAsia="ru-RU"/>
        </w:rPr>
        <w:br/>
        <w:t>Чек-лист №31 проверяет наличие у работодателя наличие системы управления охраной труда (СУОТ). В нем два пункта:</w:t>
      </w:r>
    </w:p>
    <w:p w:rsidR="00776062" w:rsidRPr="00776062" w:rsidRDefault="00776062" w:rsidP="00776062">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у работодателя Положения о системе управления охраной труда, утвержденного приказом;</w:t>
      </w:r>
    </w:p>
    <w:p w:rsidR="00776062" w:rsidRPr="00776062" w:rsidRDefault="00776062" w:rsidP="00776062">
      <w:pPr>
        <w:numPr>
          <w:ilvl w:val="0"/>
          <w:numId w:val="1"/>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у работодателя Политики в области охраны труда.</w:t>
      </w:r>
    </w:p>
    <w:p w:rsidR="00776062" w:rsidRPr="00776062" w:rsidRDefault="00776062" w:rsidP="00776062">
      <w:pPr>
        <w:shd w:val="clear" w:color="auto" w:fill="FFFFFF"/>
        <w:spacing w:after="150" w:line="240" w:lineRule="auto"/>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При разработке положения о системе управления работодатель должен руководствоваться Типовым положением о системе управления охраной труда, утвержденным приказом Минтруда №438н. Отдельно остановимся на пунктах типового положения регламентирующих процедуру оценки риска.</w:t>
      </w:r>
    </w:p>
    <w:p w:rsidR="00776062" w:rsidRPr="00776062" w:rsidRDefault="00776062" w:rsidP="00776062">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у работодателя документированной процедуры управления профессиональными рисками (пункт 33);</w:t>
      </w:r>
    </w:p>
    <w:p w:rsidR="00776062" w:rsidRPr="00776062" w:rsidRDefault="00776062" w:rsidP="00776062">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перечня идентифицированных опасностей, представляющих угрозу жизни и здоровью работников (пункт 34);</w:t>
      </w:r>
    </w:p>
    <w:p w:rsidR="00776062" w:rsidRPr="00776062" w:rsidRDefault="00776062" w:rsidP="00776062">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в процедуре описания метода (методов) оценки уровня профессиональных рисков, связанных с идентифицированными опасностями (пункт 37);</w:t>
      </w:r>
    </w:p>
    <w:p w:rsidR="00776062" w:rsidRPr="00776062" w:rsidRDefault="00776062" w:rsidP="00776062">
      <w:pPr>
        <w:numPr>
          <w:ilvl w:val="0"/>
          <w:numId w:val="2"/>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Наличие у работодателя перечня мер по исключению или снижению уровней профессиональных рисков (пункт 39).</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То есть, </w:t>
      </w:r>
      <w:proofErr w:type="gramStart"/>
      <w:r w:rsidRPr="00776062">
        <w:rPr>
          <w:rFonts w:ascii="Arial" w:eastAsia="Times New Roman" w:hAnsi="Arial" w:cs="Arial"/>
          <w:color w:val="333333"/>
          <w:sz w:val="21"/>
          <w:szCs w:val="21"/>
          <w:lang w:eastAsia="ru-RU"/>
        </w:rPr>
        <w:t>согласно положения</w:t>
      </w:r>
      <w:proofErr w:type="gramEnd"/>
      <w:r w:rsidRPr="00776062">
        <w:rPr>
          <w:rFonts w:ascii="Arial" w:eastAsia="Times New Roman" w:hAnsi="Arial" w:cs="Arial"/>
          <w:color w:val="333333"/>
          <w:sz w:val="21"/>
          <w:szCs w:val="21"/>
          <w:lang w:eastAsia="ru-RU"/>
        </w:rPr>
        <w:t>, система управления охраной труда подразумевает наличие процедуры оценки профессионального риска и выстраивание работы по охране труда в соответствии с выявленными опасностями.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lastRenderedPageBreak/>
        <w:t>Логично начинать оценку риска с выбора метода оценки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Существует несколько Стандартов описывающих методику выявления опасностей, в том числе в техногенных системах. Здесь мы не будем подробно их анализировать, </w:t>
      </w:r>
      <w:proofErr w:type="gramStart"/>
      <w:r w:rsidRPr="00776062">
        <w:rPr>
          <w:rFonts w:ascii="Arial" w:eastAsia="Times New Roman" w:hAnsi="Arial" w:cs="Arial"/>
          <w:color w:val="333333"/>
          <w:sz w:val="21"/>
          <w:szCs w:val="21"/>
          <w:lang w:eastAsia="ru-RU"/>
        </w:rPr>
        <w:t>скажем</w:t>
      </w:r>
      <w:proofErr w:type="gramEnd"/>
      <w:r w:rsidRPr="00776062">
        <w:rPr>
          <w:rFonts w:ascii="Arial" w:eastAsia="Times New Roman" w:hAnsi="Arial" w:cs="Arial"/>
          <w:color w:val="333333"/>
          <w:sz w:val="21"/>
          <w:szCs w:val="21"/>
          <w:lang w:eastAsia="ru-RU"/>
        </w:rPr>
        <w:t xml:space="preserve"> только, что все методы можно разделить на прямые и косвенные.</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1"/>
          <w:lang w:eastAsia="ru-RU"/>
        </w:rPr>
        <w:t>Прямые методы</w:t>
      </w:r>
      <w:r w:rsidRPr="00776062">
        <w:rPr>
          <w:rFonts w:ascii="Arial" w:eastAsia="Times New Roman" w:hAnsi="Arial" w:cs="Arial"/>
          <w:color w:val="333333"/>
          <w:sz w:val="21"/>
          <w:szCs w:val="21"/>
          <w:lang w:eastAsia="ru-RU"/>
        </w:rPr>
        <w:t xml:space="preserve"> основываются на данных статистики. Приемлема такая оценка только там, где соответствующая статистика набрана. </w:t>
      </w:r>
      <w:proofErr w:type="gramStart"/>
      <w:r w:rsidRPr="00776062">
        <w:rPr>
          <w:rFonts w:ascii="Arial" w:eastAsia="Times New Roman" w:hAnsi="Arial" w:cs="Arial"/>
          <w:color w:val="333333"/>
          <w:sz w:val="21"/>
          <w:szCs w:val="21"/>
          <w:lang w:eastAsia="ru-RU"/>
        </w:rPr>
        <w:t>Метод</w:t>
      </w:r>
      <w:proofErr w:type="gramEnd"/>
      <w:r w:rsidRPr="00776062">
        <w:rPr>
          <w:rFonts w:ascii="Arial" w:eastAsia="Times New Roman" w:hAnsi="Arial" w:cs="Arial"/>
          <w:color w:val="333333"/>
          <w:sz w:val="21"/>
          <w:szCs w:val="21"/>
          <w:lang w:eastAsia="ru-RU"/>
        </w:rPr>
        <w:t xml:space="preserve"> может быть применим в целом к отрасли, но даже для крупного предприятия метод в лучшем случае не сработает, а в худшем только помешает, ведь факт того, что неприятность еще не произошла, совсем не значит, то что риск минимален. </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1"/>
          <w:lang w:eastAsia="ru-RU"/>
        </w:rPr>
        <w:t>Косвенные методы</w:t>
      </w:r>
      <w:r w:rsidRPr="00776062">
        <w:rPr>
          <w:rFonts w:ascii="Arial" w:eastAsia="Times New Roman" w:hAnsi="Arial" w:cs="Arial"/>
          <w:color w:val="333333"/>
          <w:sz w:val="21"/>
          <w:szCs w:val="21"/>
          <w:lang w:eastAsia="ru-RU"/>
        </w:rPr>
        <w:t> оценки риска подразумевают: аудит (интервью, опрос сотрудников), аудит безопасного поведения, аудит организации рабочих мест и прочее. </w:t>
      </w:r>
      <w:r w:rsidRPr="00776062">
        <w:rPr>
          <w:rFonts w:ascii="Arial" w:eastAsia="Times New Roman" w:hAnsi="Arial" w:cs="Arial"/>
          <w:color w:val="333333"/>
          <w:sz w:val="21"/>
          <w:szCs w:val="21"/>
          <w:lang w:eastAsia="ru-RU"/>
        </w:rPr>
        <w:br/>
        <w:t xml:space="preserve">Как правило, для удобства оценки принято применять </w:t>
      </w:r>
      <w:proofErr w:type="spellStart"/>
      <w:proofErr w:type="gramStart"/>
      <w:r w:rsidRPr="00776062">
        <w:rPr>
          <w:rFonts w:ascii="Arial" w:eastAsia="Times New Roman" w:hAnsi="Arial" w:cs="Arial"/>
          <w:color w:val="333333"/>
          <w:sz w:val="21"/>
          <w:szCs w:val="21"/>
          <w:lang w:eastAsia="ru-RU"/>
        </w:rPr>
        <w:t>чек-листы</w:t>
      </w:r>
      <w:proofErr w:type="spellEnd"/>
      <w:proofErr w:type="gramEnd"/>
      <w:r w:rsidRPr="00776062">
        <w:rPr>
          <w:rFonts w:ascii="Arial" w:eastAsia="Times New Roman" w:hAnsi="Arial" w:cs="Arial"/>
          <w:color w:val="333333"/>
          <w:sz w:val="21"/>
          <w:szCs w:val="21"/>
          <w:lang w:eastAsia="ru-RU"/>
        </w:rPr>
        <w:t xml:space="preserve">. Тут нужно понимать, что, не смотря на определенный приказом Минтруда №438н перечень опасностей (пункт 35), он не является закрытым и не достаточно просто распечатать их на бумаге и обозвать </w:t>
      </w:r>
      <w:proofErr w:type="spellStart"/>
      <w:proofErr w:type="gramStart"/>
      <w:r w:rsidRPr="00776062">
        <w:rPr>
          <w:rFonts w:ascii="Arial" w:eastAsia="Times New Roman" w:hAnsi="Arial" w:cs="Arial"/>
          <w:color w:val="333333"/>
          <w:sz w:val="21"/>
          <w:szCs w:val="21"/>
          <w:lang w:eastAsia="ru-RU"/>
        </w:rPr>
        <w:t>чек-листом</w:t>
      </w:r>
      <w:proofErr w:type="spellEnd"/>
      <w:proofErr w:type="gramEnd"/>
      <w:r w:rsidRPr="00776062">
        <w:rPr>
          <w:rFonts w:ascii="Arial" w:eastAsia="Times New Roman" w:hAnsi="Arial" w:cs="Arial"/>
          <w:color w:val="333333"/>
          <w:sz w:val="21"/>
          <w:szCs w:val="21"/>
          <w:lang w:eastAsia="ru-RU"/>
        </w:rPr>
        <w:t>.</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t>Опрос работников</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На проверочных листах вообще следует остановиться подробнее, </w:t>
      </w:r>
      <w:proofErr w:type="gramStart"/>
      <w:r w:rsidRPr="00776062">
        <w:rPr>
          <w:rFonts w:ascii="Arial" w:eastAsia="Times New Roman" w:hAnsi="Arial" w:cs="Arial"/>
          <w:color w:val="333333"/>
          <w:sz w:val="21"/>
          <w:szCs w:val="21"/>
          <w:lang w:eastAsia="ru-RU"/>
        </w:rPr>
        <w:t>потому</w:t>
      </w:r>
      <w:proofErr w:type="gramEnd"/>
      <w:r w:rsidRPr="00776062">
        <w:rPr>
          <w:rFonts w:ascii="Arial" w:eastAsia="Times New Roman" w:hAnsi="Arial" w:cs="Arial"/>
          <w:color w:val="333333"/>
          <w:sz w:val="21"/>
          <w:szCs w:val="21"/>
          <w:lang w:eastAsia="ru-RU"/>
        </w:rPr>
        <w:t xml:space="preserve"> что неграмотно составленный чек-лист сведет на нет всю работу. На практике очень часто этот процесс представляет собой отправку руководителю подразделения </w:t>
      </w:r>
      <w:proofErr w:type="spellStart"/>
      <w:proofErr w:type="gramStart"/>
      <w:r w:rsidRPr="00776062">
        <w:rPr>
          <w:rFonts w:ascii="Arial" w:eastAsia="Times New Roman" w:hAnsi="Arial" w:cs="Arial"/>
          <w:color w:val="333333"/>
          <w:sz w:val="21"/>
          <w:szCs w:val="21"/>
          <w:lang w:eastAsia="ru-RU"/>
        </w:rPr>
        <w:t>опросника</w:t>
      </w:r>
      <w:proofErr w:type="spellEnd"/>
      <w:proofErr w:type="gramEnd"/>
      <w:r w:rsidRPr="00776062">
        <w:rPr>
          <w:rFonts w:ascii="Arial" w:eastAsia="Times New Roman" w:hAnsi="Arial" w:cs="Arial"/>
          <w:color w:val="333333"/>
          <w:sz w:val="21"/>
          <w:szCs w:val="21"/>
          <w:lang w:eastAsia="ru-RU"/>
        </w:rPr>
        <w:t xml:space="preserve"> где содержатся пункты следующего содержания: «Проведен инструктаж?», «</w:t>
      </w:r>
      <w:proofErr w:type="gramStart"/>
      <w:r w:rsidRPr="00776062">
        <w:rPr>
          <w:rFonts w:ascii="Arial" w:eastAsia="Times New Roman" w:hAnsi="Arial" w:cs="Arial"/>
          <w:color w:val="333333"/>
          <w:sz w:val="21"/>
          <w:szCs w:val="21"/>
          <w:lang w:eastAsia="ru-RU"/>
        </w:rPr>
        <w:t>Выданы</w:t>
      </w:r>
      <w:proofErr w:type="gramEnd"/>
      <w:r w:rsidRPr="00776062">
        <w:rPr>
          <w:rFonts w:ascii="Arial" w:eastAsia="Times New Roman" w:hAnsi="Arial" w:cs="Arial"/>
          <w:color w:val="333333"/>
          <w:sz w:val="21"/>
          <w:szCs w:val="21"/>
          <w:lang w:eastAsia="ru-RU"/>
        </w:rPr>
        <w:t xml:space="preserve"> СИЗ?», «Есть риск травмы?», «Соблюдаются правила?» и в том же духе. </w:t>
      </w:r>
      <w:proofErr w:type="spellStart"/>
      <w:r w:rsidRPr="00776062">
        <w:rPr>
          <w:rFonts w:ascii="Arial" w:eastAsia="Times New Roman" w:hAnsi="Arial" w:cs="Arial"/>
          <w:color w:val="333333"/>
          <w:sz w:val="21"/>
          <w:szCs w:val="21"/>
          <w:lang w:eastAsia="ru-RU"/>
        </w:rPr>
        <w:t>Само-собой</w:t>
      </w:r>
      <w:proofErr w:type="spellEnd"/>
      <w:r w:rsidRPr="00776062">
        <w:rPr>
          <w:rFonts w:ascii="Arial" w:eastAsia="Times New Roman" w:hAnsi="Arial" w:cs="Arial"/>
          <w:color w:val="333333"/>
          <w:sz w:val="21"/>
          <w:szCs w:val="21"/>
          <w:lang w:eastAsia="ru-RU"/>
        </w:rPr>
        <w:t xml:space="preserve"> бригадир ответит утвердительно на все пункты и отправит анкету назад. Получивший ее специалист удовлетворенно зафиксирует низкий уровень риска, что в принципе и было нужно всем участникам процесса. Понятно, что это не имеет ни чего общего с настоящей оценкой риска.</w:t>
      </w:r>
      <w:r w:rsidRPr="00776062">
        <w:rPr>
          <w:rFonts w:ascii="Arial" w:eastAsia="Times New Roman" w:hAnsi="Arial" w:cs="Arial"/>
          <w:color w:val="333333"/>
          <w:sz w:val="21"/>
          <w:szCs w:val="21"/>
          <w:lang w:eastAsia="ru-RU"/>
        </w:rPr>
        <w:br/>
        <w:t>Даже если предположить, что локальный руководитель в полной мере осознает свою роль в обеспечении безопасных условий труда и обладает достаточной квалификацией и уровнем вовлеченности, ему как владельцу риска практически невозможно оценить его реальный уровень. Происходит это из-за целого набора психологических и профессиональных барьеров, которые мы уже </w:t>
      </w:r>
      <w:hyperlink r:id="rId5" w:history="1">
        <w:r w:rsidRPr="00776062">
          <w:rPr>
            <w:rFonts w:ascii="Arial" w:eastAsia="Times New Roman" w:hAnsi="Arial" w:cs="Arial"/>
            <w:color w:val="EB4947"/>
            <w:sz w:val="21"/>
            <w:lang w:eastAsia="ru-RU"/>
          </w:rPr>
          <w:t>подробно описывали</w:t>
        </w:r>
      </w:hyperlink>
      <w:r w:rsidRPr="00776062">
        <w:rPr>
          <w:rFonts w:ascii="Arial" w:eastAsia="Times New Roman" w:hAnsi="Arial" w:cs="Arial"/>
          <w:color w:val="333333"/>
          <w:sz w:val="21"/>
          <w:szCs w:val="21"/>
          <w:lang w:eastAsia="ru-RU"/>
        </w:rPr>
        <w:t> и не будем сейчас повторяться. Остановимся мы на механизме аудита.</w:t>
      </w:r>
      <w:r w:rsidRPr="00776062">
        <w:rPr>
          <w:rFonts w:ascii="Arial" w:eastAsia="Times New Roman" w:hAnsi="Arial" w:cs="Arial"/>
          <w:color w:val="333333"/>
          <w:sz w:val="21"/>
          <w:szCs w:val="21"/>
          <w:lang w:eastAsia="ru-RU"/>
        </w:rPr>
        <w:br/>
        <w:t xml:space="preserve">Для проведения грамотной оценки нам нужен человек со стороны (штатный сотрудник или специально нанятый для этого эксперт). Его задача осмотреть рабочее пространство, организацию рабочих мест, изучить используемый инструмент и познакомиться с рабочими процессами. При этом следует понимать, что, работая «под надзором», сотрудники будут демонстрировать примеры идеально безопасного поведения. Здесь следует обращать внимание на детали. Такие, например, как резкую смену или остановку работы или оперативный поиск </w:t>
      </w:r>
      <w:proofErr w:type="spellStart"/>
      <w:r w:rsidRPr="00776062">
        <w:rPr>
          <w:rFonts w:ascii="Arial" w:eastAsia="Times New Roman" w:hAnsi="Arial" w:cs="Arial"/>
          <w:color w:val="333333"/>
          <w:sz w:val="21"/>
          <w:szCs w:val="21"/>
          <w:lang w:eastAsia="ru-RU"/>
        </w:rPr>
        <w:t>СИЗов</w:t>
      </w:r>
      <w:proofErr w:type="spellEnd"/>
      <w:r w:rsidRPr="00776062">
        <w:rPr>
          <w:rFonts w:ascii="Arial" w:eastAsia="Times New Roman" w:hAnsi="Arial" w:cs="Arial"/>
          <w:color w:val="333333"/>
          <w:sz w:val="21"/>
          <w:szCs w:val="21"/>
          <w:lang w:eastAsia="ru-RU"/>
        </w:rPr>
        <w:t xml:space="preserve"> при вашем появлении. </w:t>
      </w:r>
      <w:r w:rsidRPr="00776062">
        <w:rPr>
          <w:rFonts w:ascii="Arial" w:eastAsia="Times New Roman" w:hAnsi="Arial" w:cs="Arial"/>
          <w:color w:val="333333"/>
          <w:sz w:val="21"/>
          <w:szCs w:val="21"/>
          <w:lang w:eastAsia="ru-RU"/>
        </w:rPr>
        <w:br/>
        <w:t>Но сколько бы времени эксперт не провел в подразделении, он все равно не изучит все возможные варианты выполнения работы. Вот тут кроме интервьюирования работников и их руководителей нам ничего не поможет. Только вопросы следует задавать не «в лоб» типа: «Вы прошли инструктаж?», а спрашивать: «Когда был последний инструктаж?», «Перечислите требования охраны труда перед началом работы». Если ответы о дате инструктажа начисто разошлись с журналом или сотрудники не помнят базовые правила – следует вывод о формальности процесса. Анализируя совокупность полученных ответов, мы можем сделать вывод о том, каков уровень риска нарушения правил безопасности в подразделении.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t>Механизмы визуальной оценки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Мы подобрали в интернете картинки для наиболее яркой иллюстрации примеров для анализа.</w:t>
      </w:r>
      <w:r w:rsidRPr="00776062">
        <w:rPr>
          <w:rFonts w:ascii="Arial" w:eastAsia="Times New Roman" w:hAnsi="Arial" w:cs="Arial"/>
          <w:color w:val="333333"/>
          <w:sz w:val="21"/>
          <w:szCs w:val="21"/>
          <w:lang w:eastAsia="ru-RU"/>
        </w:rPr>
        <w:br/>
        <w:t>Пример анализа используемого инструмента:</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Pr>
          <w:rFonts w:ascii="Arial" w:eastAsia="Times New Roman" w:hAnsi="Arial" w:cs="Arial"/>
          <w:noProof/>
          <w:color w:val="333333"/>
          <w:sz w:val="21"/>
          <w:szCs w:val="21"/>
          <w:lang w:eastAsia="ru-RU"/>
        </w:rPr>
        <w:lastRenderedPageBreak/>
        <w:drawing>
          <wp:inline distT="0" distB="0" distL="0" distR="0">
            <wp:extent cx="7610475" cy="2371725"/>
            <wp:effectExtent l="19050" t="0" r="9525" b="0"/>
            <wp:docPr id="1" name="Рисунок 1" descr="ris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k 1"/>
                    <pic:cNvPicPr>
                      <a:picLocks noChangeAspect="1" noChangeArrowheads="1"/>
                    </pic:cNvPicPr>
                  </pic:nvPicPr>
                  <pic:blipFill>
                    <a:blip r:embed="rId6" cstate="print"/>
                    <a:srcRect/>
                    <a:stretch>
                      <a:fillRect/>
                    </a:stretch>
                  </pic:blipFill>
                  <pic:spPr bwMode="auto">
                    <a:xfrm>
                      <a:off x="0" y="0"/>
                      <a:ext cx="7610475" cy="2371725"/>
                    </a:xfrm>
                    <a:prstGeom prst="rect">
                      <a:avLst/>
                    </a:prstGeom>
                    <a:noFill/>
                    <a:ln w="9525">
                      <a:noFill/>
                      <a:miter lim="800000"/>
                      <a:headEnd/>
                      <a:tailEnd/>
                    </a:ln>
                  </pic:spPr>
                </pic:pic>
              </a:graphicData>
            </a:graphic>
          </wp:inline>
        </w:drawing>
      </w:r>
    </w:p>
    <w:p w:rsidR="00776062" w:rsidRPr="00776062" w:rsidRDefault="00776062" w:rsidP="00776062">
      <w:pPr>
        <w:shd w:val="clear" w:color="auto" w:fill="FFFFFF"/>
        <w:spacing w:after="150" w:line="240" w:lineRule="auto"/>
        <w:rPr>
          <w:rFonts w:ascii="Arial" w:eastAsia="Times New Roman" w:hAnsi="Arial" w:cs="Arial"/>
          <w:color w:val="333333"/>
          <w:sz w:val="21"/>
          <w:szCs w:val="21"/>
          <w:lang w:eastAsia="ru-RU"/>
        </w:rPr>
      </w:pPr>
      <w:r>
        <w:rPr>
          <w:rFonts w:ascii="Arial" w:eastAsia="Times New Roman" w:hAnsi="Arial" w:cs="Arial"/>
          <w:noProof/>
          <w:color w:val="333333"/>
          <w:sz w:val="21"/>
          <w:szCs w:val="21"/>
          <w:lang w:eastAsia="ru-RU"/>
        </w:rPr>
        <w:drawing>
          <wp:inline distT="0" distB="0" distL="0" distR="0">
            <wp:extent cx="7067550" cy="2095500"/>
            <wp:effectExtent l="19050" t="0" r="0" b="0"/>
            <wp:docPr id="2" name="Рисунок 2" descr="ris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sk 2"/>
                    <pic:cNvPicPr>
                      <a:picLocks noChangeAspect="1" noChangeArrowheads="1"/>
                    </pic:cNvPicPr>
                  </pic:nvPicPr>
                  <pic:blipFill>
                    <a:blip r:embed="rId7" cstate="print"/>
                    <a:srcRect/>
                    <a:stretch>
                      <a:fillRect/>
                    </a:stretch>
                  </pic:blipFill>
                  <pic:spPr bwMode="auto">
                    <a:xfrm>
                      <a:off x="0" y="0"/>
                      <a:ext cx="7067550" cy="2095500"/>
                    </a:xfrm>
                    <a:prstGeom prst="rect">
                      <a:avLst/>
                    </a:prstGeom>
                    <a:noFill/>
                    <a:ln w="9525">
                      <a:noFill/>
                      <a:miter lim="800000"/>
                      <a:headEnd/>
                      <a:tailEnd/>
                    </a:ln>
                  </pic:spPr>
                </pic:pic>
              </a:graphicData>
            </a:graphic>
          </wp:inline>
        </w:drawing>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br/>
        <w:t>Два ножа для распаковки коробок, при их сравнительно одинаковой стоимости представляют совершенно разный уровень опасности.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lastRenderedPageBreak/>
        <w:t>Пример анализа рабочего места:</w:t>
      </w:r>
      <w:r w:rsidRPr="00776062">
        <w:rPr>
          <w:rFonts w:ascii="Arial" w:eastAsia="Times New Roman" w:hAnsi="Arial" w:cs="Arial"/>
          <w:color w:val="333333"/>
          <w:sz w:val="21"/>
          <w:szCs w:val="21"/>
          <w:lang w:eastAsia="ru-RU"/>
        </w:rPr>
        <w:br/>
      </w:r>
      <w:r>
        <w:rPr>
          <w:rFonts w:ascii="Arial" w:eastAsia="Times New Roman" w:hAnsi="Arial" w:cs="Arial"/>
          <w:noProof/>
          <w:color w:val="333333"/>
          <w:sz w:val="21"/>
          <w:szCs w:val="21"/>
          <w:lang w:eastAsia="ru-RU"/>
        </w:rPr>
        <w:drawing>
          <wp:inline distT="0" distB="0" distL="0" distR="0">
            <wp:extent cx="5715000" cy="7877175"/>
            <wp:effectExtent l="19050" t="0" r="0" b="0"/>
            <wp:docPr id="3" name="Рисунок 3" descr="ris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isk 3"/>
                    <pic:cNvPicPr>
                      <a:picLocks noChangeAspect="1" noChangeArrowheads="1"/>
                    </pic:cNvPicPr>
                  </pic:nvPicPr>
                  <pic:blipFill>
                    <a:blip r:embed="rId8" cstate="print"/>
                    <a:srcRect/>
                    <a:stretch>
                      <a:fillRect/>
                    </a:stretch>
                  </pic:blipFill>
                  <pic:spPr bwMode="auto">
                    <a:xfrm>
                      <a:off x="0" y="0"/>
                      <a:ext cx="5715000" cy="7877175"/>
                    </a:xfrm>
                    <a:prstGeom prst="rect">
                      <a:avLst/>
                    </a:prstGeom>
                    <a:noFill/>
                    <a:ln w="9525">
                      <a:noFill/>
                      <a:miter lim="800000"/>
                      <a:headEnd/>
                      <a:tailEnd/>
                    </a:ln>
                  </pic:spPr>
                </pic:pic>
              </a:graphicData>
            </a:graphic>
          </wp:inline>
        </w:drawing>
      </w:r>
      <w:r>
        <w:rPr>
          <w:rFonts w:ascii="Arial" w:eastAsia="Times New Roman" w:hAnsi="Arial" w:cs="Arial"/>
          <w:noProof/>
          <w:color w:val="333333"/>
          <w:sz w:val="21"/>
          <w:szCs w:val="21"/>
          <w:lang w:eastAsia="ru-RU"/>
        </w:rPr>
        <w:lastRenderedPageBreak/>
        <w:drawing>
          <wp:inline distT="0" distB="0" distL="0" distR="0">
            <wp:extent cx="5715000" cy="5715000"/>
            <wp:effectExtent l="19050" t="0" r="0" b="0"/>
            <wp:docPr id="4" name="Рисунок 4" descr="ris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isk 4"/>
                    <pic:cNvPicPr>
                      <a:picLocks noChangeAspect="1" noChangeArrowheads="1"/>
                    </pic:cNvPicPr>
                  </pic:nvPicPr>
                  <pic:blipFill>
                    <a:blip r:embed="rId9" cstate="print"/>
                    <a:srcRect/>
                    <a:stretch>
                      <a:fillRect/>
                    </a:stretch>
                  </pic:blipFill>
                  <pic:spPr bwMode="auto">
                    <a:xfrm>
                      <a:off x="0" y="0"/>
                      <a:ext cx="5715000" cy="5715000"/>
                    </a:xfrm>
                    <a:prstGeom prst="rect">
                      <a:avLst/>
                    </a:prstGeom>
                    <a:noFill/>
                    <a:ln w="9525">
                      <a:noFill/>
                      <a:miter lim="800000"/>
                      <a:headEnd/>
                      <a:tailEnd/>
                    </a:ln>
                  </pic:spPr>
                </pic:pic>
              </a:graphicData>
            </a:graphic>
          </wp:inline>
        </w:drawing>
      </w:r>
      <w:r w:rsidRPr="00776062">
        <w:rPr>
          <w:rFonts w:ascii="Arial" w:eastAsia="Times New Roman" w:hAnsi="Arial" w:cs="Arial"/>
          <w:color w:val="333333"/>
          <w:sz w:val="21"/>
          <w:szCs w:val="21"/>
          <w:lang w:eastAsia="ru-RU"/>
        </w:rPr>
        <w:t>Свободно болтающиеся провода одна из главных причин падения в офисе. </w:t>
      </w:r>
      <w:r w:rsidRPr="00776062">
        <w:rPr>
          <w:rFonts w:ascii="Arial" w:eastAsia="Times New Roman" w:hAnsi="Arial" w:cs="Arial"/>
          <w:color w:val="333333"/>
          <w:sz w:val="21"/>
          <w:szCs w:val="21"/>
          <w:lang w:eastAsia="ru-RU"/>
        </w:rPr>
        <w:br/>
      </w:r>
      <w:r>
        <w:rPr>
          <w:rFonts w:ascii="Arial" w:eastAsia="Times New Roman" w:hAnsi="Arial" w:cs="Arial"/>
          <w:noProof/>
          <w:color w:val="333333"/>
          <w:sz w:val="21"/>
          <w:szCs w:val="21"/>
          <w:lang w:eastAsia="ru-RU"/>
        </w:rPr>
        <w:lastRenderedPageBreak/>
        <w:drawing>
          <wp:inline distT="0" distB="0" distL="0" distR="0">
            <wp:extent cx="5715000" cy="3981450"/>
            <wp:effectExtent l="19050" t="0" r="0" b="0"/>
            <wp:docPr id="5" name="Рисунок 5" descr="ris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5"/>
                    <pic:cNvPicPr>
                      <a:picLocks noChangeAspect="1" noChangeArrowheads="1"/>
                    </pic:cNvPicPr>
                  </pic:nvPicPr>
                  <pic:blipFill>
                    <a:blip r:embed="rId10" cstate="print"/>
                    <a:srcRect/>
                    <a:stretch>
                      <a:fillRect/>
                    </a:stretch>
                  </pic:blipFill>
                  <pic:spPr bwMode="auto">
                    <a:xfrm>
                      <a:off x="0" y="0"/>
                      <a:ext cx="5715000" cy="3981450"/>
                    </a:xfrm>
                    <a:prstGeom prst="rect">
                      <a:avLst/>
                    </a:prstGeom>
                    <a:noFill/>
                    <a:ln w="9525">
                      <a:noFill/>
                      <a:miter lim="800000"/>
                      <a:headEnd/>
                      <a:tailEnd/>
                    </a:ln>
                  </pic:spPr>
                </pic:pic>
              </a:graphicData>
            </a:graphic>
          </wp:inline>
        </w:drawing>
      </w:r>
      <w:r w:rsidRPr="00776062">
        <w:rPr>
          <w:rFonts w:ascii="Arial" w:eastAsia="Times New Roman" w:hAnsi="Arial" w:cs="Arial"/>
          <w:color w:val="333333"/>
          <w:sz w:val="21"/>
          <w:szCs w:val="21"/>
          <w:lang w:eastAsia="ru-RU"/>
        </w:rPr>
        <w:t>Захламленность рабочего места, отсутствие элементов защиты (защитных щитков) значительно увеличивают вероятность травмы. </w:t>
      </w:r>
      <w:r w:rsidRPr="00776062">
        <w:rPr>
          <w:rFonts w:ascii="Arial" w:eastAsia="Times New Roman" w:hAnsi="Arial" w:cs="Arial"/>
          <w:color w:val="333333"/>
          <w:sz w:val="21"/>
          <w:szCs w:val="21"/>
          <w:lang w:eastAsia="ru-RU"/>
        </w:rPr>
        <w:br/>
        <w:t>Пример анализа рабочего пространства:</w:t>
      </w:r>
      <w:r w:rsidRPr="00776062">
        <w:rPr>
          <w:rFonts w:ascii="Arial" w:eastAsia="Times New Roman" w:hAnsi="Arial" w:cs="Arial"/>
          <w:color w:val="333333"/>
          <w:sz w:val="21"/>
          <w:szCs w:val="21"/>
          <w:lang w:eastAsia="ru-RU"/>
        </w:rPr>
        <w:br/>
      </w:r>
      <w:r>
        <w:rPr>
          <w:rFonts w:ascii="Arial" w:eastAsia="Times New Roman" w:hAnsi="Arial" w:cs="Arial"/>
          <w:noProof/>
          <w:color w:val="333333"/>
          <w:sz w:val="21"/>
          <w:szCs w:val="21"/>
          <w:lang w:eastAsia="ru-RU"/>
        </w:rPr>
        <w:lastRenderedPageBreak/>
        <w:drawing>
          <wp:inline distT="0" distB="0" distL="0" distR="0">
            <wp:extent cx="5715000" cy="6219825"/>
            <wp:effectExtent l="19050" t="0" r="0" b="0"/>
            <wp:docPr id="6" name="Рисунок 6" descr="ris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isk 6"/>
                    <pic:cNvPicPr>
                      <a:picLocks noChangeAspect="1" noChangeArrowheads="1"/>
                    </pic:cNvPicPr>
                  </pic:nvPicPr>
                  <pic:blipFill>
                    <a:blip r:embed="rId11" cstate="print"/>
                    <a:srcRect/>
                    <a:stretch>
                      <a:fillRect/>
                    </a:stretch>
                  </pic:blipFill>
                  <pic:spPr bwMode="auto">
                    <a:xfrm>
                      <a:off x="0" y="0"/>
                      <a:ext cx="5715000" cy="6219825"/>
                    </a:xfrm>
                    <a:prstGeom prst="rect">
                      <a:avLst/>
                    </a:prstGeom>
                    <a:noFill/>
                    <a:ln w="9525">
                      <a:noFill/>
                      <a:miter lim="800000"/>
                      <a:headEnd/>
                      <a:tailEnd/>
                    </a:ln>
                  </pic:spPr>
                </pic:pic>
              </a:graphicData>
            </a:graphic>
          </wp:inline>
        </w:drawing>
      </w:r>
      <w:r w:rsidRPr="00776062">
        <w:rPr>
          <w:rFonts w:ascii="Arial" w:eastAsia="Times New Roman" w:hAnsi="Arial" w:cs="Arial"/>
          <w:color w:val="333333"/>
          <w:sz w:val="21"/>
          <w:szCs w:val="21"/>
          <w:lang w:eastAsia="ru-RU"/>
        </w:rPr>
        <w:t>Нарушение правил проведения погрузочно-разгрузочных работ подвергают риску не только рабочего допустившего нарушение, но и остальных участников рабочего процесса.</w:t>
      </w:r>
      <w:r w:rsidRPr="00776062">
        <w:rPr>
          <w:rFonts w:ascii="Arial" w:eastAsia="Times New Roman" w:hAnsi="Arial" w:cs="Arial"/>
          <w:color w:val="333333"/>
          <w:sz w:val="21"/>
          <w:szCs w:val="21"/>
          <w:lang w:eastAsia="ru-RU"/>
        </w:rPr>
        <w:br/>
        <w:t>Пример анализа рабочего процесса:</w:t>
      </w:r>
    </w:p>
    <w:p w:rsidR="00776062" w:rsidRPr="00776062" w:rsidRDefault="00776062" w:rsidP="00776062">
      <w:pPr>
        <w:shd w:val="clear" w:color="auto" w:fill="FFFFFF"/>
        <w:spacing w:after="150" w:line="240" w:lineRule="auto"/>
        <w:rPr>
          <w:rFonts w:ascii="Arial" w:eastAsia="Times New Roman" w:hAnsi="Arial" w:cs="Arial"/>
          <w:color w:val="333333"/>
          <w:sz w:val="21"/>
          <w:szCs w:val="21"/>
          <w:lang w:eastAsia="ru-RU"/>
        </w:rPr>
      </w:pPr>
      <w:r>
        <w:rPr>
          <w:rFonts w:ascii="Arial" w:eastAsia="Times New Roman" w:hAnsi="Arial" w:cs="Arial"/>
          <w:noProof/>
          <w:color w:val="333333"/>
          <w:sz w:val="21"/>
          <w:szCs w:val="21"/>
          <w:lang w:eastAsia="ru-RU"/>
        </w:rPr>
        <w:lastRenderedPageBreak/>
        <w:drawing>
          <wp:inline distT="0" distB="0" distL="0" distR="0">
            <wp:extent cx="5715000" cy="4295775"/>
            <wp:effectExtent l="19050" t="0" r="0" b="0"/>
            <wp:docPr id="7" name="Рисунок 7" descr="ris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sk 7"/>
                    <pic:cNvPicPr>
                      <a:picLocks noChangeAspect="1" noChangeArrowheads="1"/>
                    </pic:cNvPicPr>
                  </pic:nvPicPr>
                  <pic:blipFill>
                    <a:blip r:embed="rId12" cstate="print"/>
                    <a:srcRect/>
                    <a:stretch>
                      <a:fillRect/>
                    </a:stretch>
                  </pic:blipFill>
                  <pic:spPr bwMode="auto">
                    <a:xfrm>
                      <a:off x="0" y="0"/>
                      <a:ext cx="5715000" cy="4295775"/>
                    </a:xfrm>
                    <a:prstGeom prst="rect">
                      <a:avLst/>
                    </a:prstGeom>
                    <a:noFill/>
                    <a:ln w="9525">
                      <a:noFill/>
                      <a:miter lim="800000"/>
                      <a:headEnd/>
                      <a:tailEnd/>
                    </a:ln>
                  </pic:spPr>
                </pic:pic>
              </a:graphicData>
            </a:graphic>
          </wp:inline>
        </w:drawing>
      </w:r>
    </w:p>
    <w:p w:rsidR="00776062" w:rsidRPr="00776062" w:rsidRDefault="00776062" w:rsidP="00776062">
      <w:pPr>
        <w:shd w:val="clear" w:color="auto" w:fill="FFFFFF"/>
        <w:spacing w:after="150" w:line="240" w:lineRule="auto"/>
        <w:rPr>
          <w:rFonts w:ascii="Arial" w:eastAsia="Times New Roman" w:hAnsi="Arial" w:cs="Arial"/>
          <w:color w:val="333333"/>
          <w:sz w:val="21"/>
          <w:szCs w:val="21"/>
          <w:lang w:eastAsia="ru-RU"/>
        </w:rPr>
      </w:pPr>
      <w:r>
        <w:rPr>
          <w:rFonts w:ascii="Arial" w:eastAsia="Times New Roman" w:hAnsi="Arial" w:cs="Arial"/>
          <w:noProof/>
          <w:color w:val="333333"/>
          <w:sz w:val="21"/>
          <w:szCs w:val="21"/>
          <w:lang w:eastAsia="ru-RU"/>
        </w:rPr>
        <w:lastRenderedPageBreak/>
        <w:drawing>
          <wp:inline distT="0" distB="0" distL="0" distR="0">
            <wp:extent cx="5715000" cy="10115550"/>
            <wp:effectExtent l="19050" t="0" r="0" b="0"/>
            <wp:docPr id="8" name="Рисунок 8" descr="ris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isk 8"/>
                    <pic:cNvPicPr>
                      <a:picLocks noChangeAspect="1" noChangeArrowheads="1"/>
                    </pic:cNvPicPr>
                  </pic:nvPicPr>
                  <pic:blipFill>
                    <a:blip r:embed="rId13" cstate="print"/>
                    <a:srcRect/>
                    <a:stretch>
                      <a:fillRect/>
                    </a:stretch>
                  </pic:blipFill>
                  <pic:spPr bwMode="auto">
                    <a:xfrm>
                      <a:off x="0" y="0"/>
                      <a:ext cx="5715000" cy="10115550"/>
                    </a:xfrm>
                    <a:prstGeom prst="rect">
                      <a:avLst/>
                    </a:prstGeom>
                    <a:noFill/>
                    <a:ln w="9525">
                      <a:noFill/>
                      <a:miter lim="800000"/>
                      <a:headEnd/>
                      <a:tailEnd/>
                    </a:ln>
                  </pic:spPr>
                </pic:pic>
              </a:graphicData>
            </a:graphic>
          </wp:inline>
        </w:drawing>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lastRenderedPageBreak/>
        <w:t>Склады традиционно являются самыми наглядными примерами небезопасного поведения.</w:t>
      </w:r>
      <w:r w:rsidRPr="00776062">
        <w:rPr>
          <w:rFonts w:ascii="Arial" w:eastAsia="Times New Roman" w:hAnsi="Arial" w:cs="Arial"/>
          <w:color w:val="333333"/>
          <w:sz w:val="21"/>
          <w:szCs w:val="21"/>
          <w:lang w:eastAsia="ru-RU"/>
        </w:rPr>
        <w:br/>
      </w:r>
      <w:r>
        <w:rPr>
          <w:rFonts w:ascii="Arial" w:eastAsia="Times New Roman" w:hAnsi="Arial" w:cs="Arial"/>
          <w:noProof/>
          <w:color w:val="333333"/>
          <w:sz w:val="21"/>
          <w:szCs w:val="21"/>
          <w:lang w:eastAsia="ru-RU"/>
        </w:rPr>
        <w:drawing>
          <wp:inline distT="0" distB="0" distL="0" distR="0">
            <wp:extent cx="5715000" cy="3914775"/>
            <wp:effectExtent l="19050" t="0" r="0" b="0"/>
            <wp:docPr id="9" name="Рисунок 9" descr="ris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sk 9"/>
                    <pic:cNvPicPr>
                      <a:picLocks noChangeAspect="1" noChangeArrowheads="1"/>
                    </pic:cNvPicPr>
                  </pic:nvPicPr>
                  <pic:blipFill>
                    <a:blip r:embed="rId14" cstate="print"/>
                    <a:srcRect/>
                    <a:stretch>
                      <a:fillRect/>
                    </a:stretch>
                  </pic:blipFill>
                  <pic:spPr bwMode="auto">
                    <a:xfrm>
                      <a:off x="0" y="0"/>
                      <a:ext cx="5715000" cy="3914775"/>
                    </a:xfrm>
                    <a:prstGeom prst="rect">
                      <a:avLst/>
                    </a:prstGeom>
                    <a:noFill/>
                    <a:ln w="9525">
                      <a:noFill/>
                      <a:miter lim="800000"/>
                      <a:headEnd/>
                      <a:tailEnd/>
                    </a:ln>
                  </pic:spPr>
                </pic:pic>
              </a:graphicData>
            </a:graphic>
          </wp:inline>
        </w:drawing>
      </w:r>
      <w:r w:rsidRPr="00776062">
        <w:rPr>
          <w:rFonts w:ascii="Arial" w:eastAsia="Times New Roman" w:hAnsi="Arial" w:cs="Arial"/>
          <w:color w:val="333333"/>
          <w:sz w:val="21"/>
          <w:szCs w:val="21"/>
          <w:lang w:eastAsia="ru-RU"/>
        </w:rPr>
        <w:t>Отсутствует ограждение места проведения работ. Существует риск наезда транспорта на работника.</w:t>
      </w:r>
      <w:r w:rsidRPr="00776062">
        <w:rPr>
          <w:rFonts w:ascii="Arial" w:eastAsia="Times New Roman" w:hAnsi="Arial" w:cs="Arial"/>
          <w:color w:val="333333"/>
          <w:sz w:val="21"/>
          <w:szCs w:val="21"/>
          <w:lang w:eastAsia="ru-RU"/>
        </w:rPr>
        <w:br/>
      </w:r>
      <w:r>
        <w:rPr>
          <w:rFonts w:ascii="Arial" w:eastAsia="Times New Roman" w:hAnsi="Arial" w:cs="Arial"/>
          <w:noProof/>
          <w:color w:val="333333"/>
          <w:sz w:val="21"/>
          <w:szCs w:val="21"/>
          <w:lang w:eastAsia="ru-RU"/>
        </w:rPr>
        <w:drawing>
          <wp:inline distT="0" distB="0" distL="0" distR="0">
            <wp:extent cx="5715000" cy="3867150"/>
            <wp:effectExtent l="19050" t="0" r="0" b="0"/>
            <wp:docPr id="10" name="Рисунок 10" descr="ris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isk 10"/>
                    <pic:cNvPicPr>
                      <a:picLocks noChangeAspect="1" noChangeArrowheads="1"/>
                    </pic:cNvPicPr>
                  </pic:nvPicPr>
                  <pic:blipFill>
                    <a:blip r:embed="rId15" cstate="print"/>
                    <a:srcRect/>
                    <a:stretch>
                      <a:fillRect/>
                    </a:stretch>
                  </pic:blipFill>
                  <pic:spPr bwMode="auto">
                    <a:xfrm>
                      <a:off x="0" y="0"/>
                      <a:ext cx="5715000" cy="3867150"/>
                    </a:xfrm>
                    <a:prstGeom prst="rect">
                      <a:avLst/>
                    </a:prstGeom>
                    <a:noFill/>
                    <a:ln w="9525">
                      <a:noFill/>
                      <a:miter lim="800000"/>
                      <a:headEnd/>
                      <a:tailEnd/>
                    </a:ln>
                  </pic:spPr>
                </pic:pic>
              </a:graphicData>
            </a:graphic>
          </wp:inline>
        </w:drawing>
      </w:r>
      <w:r w:rsidRPr="00776062">
        <w:rPr>
          <w:rFonts w:ascii="Arial" w:eastAsia="Times New Roman" w:hAnsi="Arial" w:cs="Arial"/>
          <w:color w:val="333333"/>
          <w:sz w:val="21"/>
          <w:szCs w:val="21"/>
          <w:lang w:eastAsia="ru-RU"/>
        </w:rPr>
        <w:t>Отсутствие средств защиты при проведении работ в комментариях не нуждается.</w:t>
      </w:r>
      <w:r w:rsidRPr="00776062">
        <w:rPr>
          <w:rFonts w:ascii="Arial" w:eastAsia="Times New Roman" w:hAnsi="Arial" w:cs="Arial"/>
          <w:color w:val="333333"/>
          <w:sz w:val="21"/>
          <w:szCs w:val="21"/>
          <w:lang w:eastAsia="ru-RU"/>
        </w:rPr>
        <w:br/>
        <w:t>Конечно это только некоторые и наиболее яркие примеры. На практике все намного сложнее и требует глубокого погружения в изучение работы компании.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t>Карты риска</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lastRenderedPageBreak/>
        <w:t>Разберем пример составления </w:t>
      </w:r>
      <w:r w:rsidRPr="00776062">
        <w:rPr>
          <w:rFonts w:ascii="Arial" w:eastAsia="Times New Roman" w:hAnsi="Arial" w:cs="Arial"/>
          <w:b/>
          <w:bCs/>
          <w:color w:val="333333"/>
          <w:sz w:val="21"/>
          <w:lang w:eastAsia="ru-RU"/>
        </w:rPr>
        <w:t>карты анализа риска</w:t>
      </w:r>
      <w:r w:rsidRPr="00776062">
        <w:rPr>
          <w:rFonts w:ascii="Arial" w:eastAsia="Times New Roman" w:hAnsi="Arial" w:cs="Arial"/>
          <w:color w:val="333333"/>
          <w:sz w:val="21"/>
          <w:szCs w:val="21"/>
          <w:lang w:eastAsia="ru-RU"/>
        </w:rPr>
        <w:t> для самого распространённого риска – «риска падения». </w:t>
      </w:r>
      <w:r w:rsidRPr="00776062">
        <w:rPr>
          <w:rFonts w:ascii="Arial" w:eastAsia="Times New Roman" w:hAnsi="Arial" w:cs="Arial"/>
          <w:color w:val="333333"/>
          <w:sz w:val="21"/>
          <w:szCs w:val="21"/>
          <w:lang w:eastAsia="ru-RU"/>
        </w:rPr>
        <w:br/>
        <w:t>Форма карты риска разрабатывается исходя из того, что она должна включать в себя следующие основные пункты:</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1"/>
          <w:lang w:eastAsia="ru-RU"/>
        </w:rPr>
        <w:t>Производственный процесс.</w:t>
      </w:r>
      <w:r w:rsidRPr="00776062">
        <w:rPr>
          <w:rFonts w:ascii="Arial" w:eastAsia="Times New Roman" w:hAnsi="Arial" w:cs="Arial"/>
          <w:color w:val="333333"/>
          <w:sz w:val="21"/>
          <w:szCs w:val="21"/>
          <w:lang w:eastAsia="ru-RU"/>
        </w:rPr>
        <w:t> Процесс в результате, которого возможна эскалация риска в нашем случае будет носить название: «Передвижение в пространстве для осуществления трудовой деятельности».</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1"/>
          <w:lang w:eastAsia="ru-RU"/>
        </w:rPr>
        <w:t>Опасное событие</w:t>
      </w:r>
      <w:r w:rsidRPr="00776062">
        <w:rPr>
          <w:rFonts w:ascii="Arial" w:eastAsia="Times New Roman" w:hAnsi="Arial" w:cs="Arial"/>
          <w:color w:val="333333"/>
          <w:sz w:val="21"/>
          <w:szCs w:val="21"/>
          <w:lang w:eastAsia="ru-RU"/>
        </w:rPr>
        <w:t> может иметь варианты (необязательно все они должны присутствовать в анализируемом подразделении):</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образование наледи, гололеда;</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образование конденсата на кафеле за счет разницы температур;</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скользкая поверхность полового покрытия;</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дефекты напольного покрытия;</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свободно лежащие провода;</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высокий порог;</w:t>
      </w:r>
    </w:p>
    <w:p w:rsidR="00776062" w:rsidRPr="00776062" w:rsidRDefault="00776062" w:rsidP="00776062">
      <w:pPr>
        <w:numPr>
          <w:ilvl w:val="0"/>
          <w:numId w:val="3"/>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неприменение </w:t>
      </w:r>
      <w:proofErr w:type="spellStart"/>
      <w:r w:rsidRPr="00776062">
        <w:rPr>
          <w:rFonts w:ascii="Arial" w:eastAsia="Times New Roman" w:hAnsi="Arial" w:cs="Arial"/>
          <w:color w:val="333333"/>
          <w:sz w:val="21"/>
          <w:szCs w:val="21"/>
          <w:lang w:eastAsia="ru-RU"/>
        </w:rPr>
        <w:t>спецобуви</w:t>
      </w:r>
      <w:proofErr w:type="spellEnd"/>
      <w:r w:rsidRPr="00776062">
        <w:rPr>
          <w:rFonts w:ascii="Arial" w:eastAsia="Times New Roman" w:hAnsi="Arial" w:cs="Arial"/>
          <w:color w:val="333333"/>
          <w:sz w:val="21"/>
          <w:szCs w:val="21"/>
          <w:lang w:eastAsia="ru-RU"/>
        </w:rPr>
        <w:t>.</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Могут быть и другие события, связанные с выполнением работы, которые мы не учли.</w:t>
      </w:r>
      <w:r w:rsidRPr="00776062">
        <w:rPr>
          <w:rFonts w:ascii="Arial" w:eastAsia="Times New Roman" w:hAnsi="Arial" w:cs="Arial"/>
          <w:color w:val="333333"/>
          <w:sz w:val="21"/>
          <w:szCs w:val="21"/>
          <w:lang w:eastAsia="ru-RU"/>
        </w:rPr>
        <w:br/>
      </w:r>
      <w:r w:rsidRPr="00776062">
        <w:rPr>
          <w:rFonts w:ascii="Arial" w:eastAsia="Times New Roman" w:hAnsi="Arial" w:cs="Arial"/>
          <w:b/>
          <w:bCs/>
          <w:color w:val="333333"/>
          <w:sz w:val="21"/>
          <w:lang w:eastAsia="ru-RU"/>
        </w:rPr>
        <w:t>Меры управления риском.</w:t>
      </w:r>
      <w:r w:rsidRPr="00776062">
        <w:rPr>
          <w:rFonts w:ascii="Arial" w:eastAsia="Times New Roman" w:hAnsi="Arial" w:cs="Arial"/>
          <w:color w:val="333333"/>
          <w:sz w:val="21"/>
          <w:szCs w:val="21"/>
          <w:lang w:eastAsia="ru-RU"/>
        </w:rPr>
        <w:t> Перечисляются существующие меры для снижения риска, и оценивается их эффективность.</w:t>
      </w:r>
      <w:r w:rsidRPr="00776062">
        <w:rPr>
          <w:rFonts w:ascii="Arial" w:eastAsia="Times New Roman" w:hAnsi="Arial" w:cs="Arial"/>
          <w:color w:val="333333"/>
          <w:sz w:val="21"/>
          <w:szCs w:val="21"/>
          <w:lang w:eastAsia="ru-RU"/>
        </w:rPr>
        <w:br/>
        <w:t>Обязательно оценивается </w:t>
      </w:r>
      <w:r w:rsidRPr="00776062">
        <w:rPr>
          <w:rFonts w:ascii="Arial" w:eastAsia="Times New Roman" w:hAnsi="Arial" w:cs="Arial"/>
          <w:b/>
          <w:bCs/>
          <w:color w:val="333333"/>
          <w:sz w:val="21"/>
          <w:lang w:eastAsia="ru-RU"/>
        </w:rPr>
        <w:t>вероятность</w:t>
      </w:r>
      <w:r w:rsidRPr="00776062">
        <w:rPr>
          <w:rFonts w:ascii="Arial" w:eastAsia="Times New Roman" w:hAnsi="Arial" w:cs="Arial"/>
          <w:color w:val="333333"/>
          <w:sz w:val="21"/>
          <w:szCs w:val="21"/>
          <w:lang w:eastAsia="ru-RU"/>
        </w:rPr>
        <w:t> и возможная </w:t>
      </w:r>
      <w:r w:rsidRPr="00776062">
        <w:rPr>
          <w:rFonts w:ascii="Arial" w:eastAsia="Times New Roman" w:hAnsi="Arial" w:cs="Arial"/>
          <w:b/>
          <w:bCs/>
          <w:color w:val="333333"/>
          <w:sz w:val="21"/>
          <w:lang w:eastAsia="ru-RU"/>
        </w:rPr>
        <w:t>тяжесть</w:t>
      </w:r>
      <w:r w:rsidRPr="00776062">
        <w:rPr>
          <w:rFonts w:ascii="Arial" w:eastAsia="Times New Roman" w:hAnsi="Arial" w:cs="Arial"/>
          <w:color w:val="333333"/>
          <w:sz w:val="21"/>
          <w:szCs w:val="21"/>
          <w:lang w:eastAsia="ru-RU"/>
        </w:rPr>
        <w:t xml:space="preserve"> травмы в результате наступления анализируемого события. Для этой оценки вполне приемлем «матричный </w:t>
      </w:r>
      <w:proofErr w:type="gramStart"/>
      <w:r w:rsidRPr="00776062">
        <w:rPr>
          <w:rFonts w:ascii="Arial" w:eastAsia="Times New Roman" w:hAnsi="Arial" w:cs="Arial"/>
          <w:color w:val="333333"/>
          <w:sz w:val="21"/>
          <w:szCs w:val="21"/>
          <w:lang w:eastAsia="ru-RU"/>
        </w:rPr>
        <w:t>метод</w:t>
      </w:r>
      <w:proofErr w:type="gramEnd"/>
      <w:r w:rsidRPr="00776062">
        <w:rPr>
          <w:rFonts w:ascii="Arial" w:eastAsia="Times New Roman" w:hAnsi="Arial" w:cs="Arial"/>
          <w:color w:val="333333"/>
          <w:sz w:val="21"/>
          <w:szCs w:val="21"/>
          <w:lang w:eastAsia="ru-RU"/>
        </w:rPr>
        <w:t>» о котором мы тоже уже рассказывали. </w:t>
      </w:r>
      <w:r w:rsidRPr="00776062">
        <w:rPr>
          <w:rFonts w:ascii="Arial" w:eastAsia="Times New Roman" w:hAnsi="Arial" w:cs="Arial"/>
          <w:color w:val="333333"/>
          <w:sz w:val="21"/>
          <w:szCs w:val="21"/>
          <w:lang w:eastAsia="ru-RU"/>
        </w:rPr>
        <w:br/>
        <w:t>Выявленные и описанные риски сводятся в общие </w:t>
      </w:r>
      <w:r w:rsidRPr="00776062">
        <w:rPr>
          <w:rFonts w:ascii="Arial" w:eastAsia="Times New Roman" w:hAnsi="Arial" w:cs="Arial"/>
          <w:b/>
          <w:bCs/>
          <w:color w:val="333333"/>
          <w:sz w:val="21"/>
          <w:lang w:eastAsia="ru-RU"/>
        </w:rPr>
        <w:t>карты идентификации риска</w:t>
      </w:r>
      <w:r w:rsidRPr="00776062">
        <w:rPr>
          <w:rFonts w:ascii="Arial" w:eastAsia="Times New Roman" w:hAnsi="Arial" w:cs="Arial"/>
          <w:color w:val="333333"/>
          <w:sz w:val="21"/>
          <w:szCs w:val="21"/>
          <w:lang w:eastAsia="ru-RU"/>
        </w:rPr>
        <w:t> по подразделениям и в целом по компании.</w:t>
      </w:r>
      <w:r w:rsidRPr="00776062">
        <w:rPr>
          <w:rFonts w:ascii="Arial" w:eastAsia="Times New Roman" w:hAnsi="Arial" w:cs="Arial"/>
          <w:color w:val="333333"/>
          <w:sz w:val="21"/>
          <w:szCs w:val="21"/>
          <w:lang w:eastAsia="ru-RU"/>
        </w:rPr>
        <w:br/>
        <w:t>Удобно представить их в виде таблицы:</w:t>
      </w:r>
    </w:p>
    <w:tbl>
      <w:tblPr>
        <w:tblW w:w="12810"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tblPr>
      <w:tblGrid>
        <w:gridCol w:w="1621"/>
        <w:gridCol w:w="1177"/>
        <w:gridCol w:w="932"/>
        <w:gridCol w:w="1413"/>
        <w:gridCol w:w="988"/>
        <w:gridCol w:w="1783"/>
        <w:gridCol w:w="997"/>
        <w:gridCol w:w="1453"/>
        <w:gridCol w:w="851"/>
        <w:gridCol w:w="956"/>
        <w:gridCol w:w="1079"/>
      </w:tblGrid>
      <w:tr w:rsidR="00776062" w:rsidRPr="00776062" w:rsidTr="00776062">
        <w:trPr>
          <w:trHeight w:val="276"/>
        </w:trPr>
        <w:tc>
          <w:tcPr>
            <w:tcW w:w="0" w:type="auto"/>
            <w:gridSpan w:val="11"/>
            <w:vMerge w:val="restart"/>
            <w:tcBorders>
              <w:top w:val="nil"/>
              <w:left w:val="nil"/>
              <w:bottom w:val="nil"/>
              <w:right w:val="nil"/>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rPr>
                <w:rFonts w:ascii="Times New Roman" w:eastAsia="Times New Roman" w:hAnsi="Times New Roman" w:cs="Times New Roman"/>
                <w:color w:val="777777"/>
                <w:sz w:val="24"/>
                <w:szCs w:val="24"/>
                <w:lang w:eastAsia="ru-RU"/>
              </w:rPr>
            </w:pPr>
            <w:r w:rsidRPr="00776062">
              <w:rPr>
                <w:rFonts w:ascii="Times New Roman" w:eastAsia="Times New Roman" w:hAnsi="Times New Roman" w:cs="Times New Roman"/>
                <w:b/>
                <w:bCs/>
                <w:color w:val="777777"/>
                <w:sz w:val="24"/>
                <w:szCs w:val="24"/>
                <w:lang w:eastAsia="ru-RU"/>
              </w:rPr>
              <w:t>Шапка карты идентификации риска</w:t>
            </w:r>
          </w:p>
        </w:tc>
      </w:tr>
      <w:tr w:rsidR="00776062" w:rsidRPr="00776062" w:rsidTr="00776062">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Наименование</w:t>
            </w:r>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proofErr w:type="spellStart"/>
            <w:proofErr w:type="gramStart"/>
            <w:r w:rsidRPr="00776062">
              <w:rPr>
                <w:rFonts w:ascii="Times New Roman" w:eastAsia="Times New Roman" w:hAnsi="Times New Roman" w:cs="Times New Roman"/>
                <w:b/>
                <w:bCs/>
                <w:sz w:val="24"/>
                <w:szCs w:val="24"/>
                <w:lang w:eastAsia="ru-RU"/>
              </w:rPr>
              <w:t>производств-енного</w:t>
            </w:r>
            <w:proofErr w:type="spellEnd"/>
            <w:proofErr w:type="gramEnd"/>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процесса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Опасность</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Опасное событие</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Последствия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Условия</w:t>
            </w:r>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proofErr w:type="spellStart"/>
            <w:proofErr w:type="gramStart"/>
            <w:r w:rsidRPr="00776062">
              <w:rPr>
                <w:rFonts w:ascii="Times New Roman" w:eastAsia="Times New Roman" w:hAnsi="Times New Roman" w:cs="Times New Roman"/>
                <w:b/>
                <w:bCs/>
                <w:sz w:val="24"/>
                <w:szCs w:val="24"/>
                <w:lang w:eastAsia="ru-RU"/>
              </w:rPr>
              <w:t>возник-новения</w:t>
            </w:r>
            <w:proofErr w:type="spellEnd"/>
            <w:proofErr w:type="gramEnd"/>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опасного</w:t>
            </w:r>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события</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 Существующие</w:t>
            </w:r>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меры</w:t>
            </w:r>
          </w:p>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управления</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Оценка риска</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Ссылка на Карту анализа риска (для средних и высоких рисков)</w:t>
            </w:r>
          </w:p>
        </w:tc>
        <w:tc>
          <w:tcPr>
            <w:tcW w:w="0" w:type="auto"/>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150" w:line="240" w:lineRule="auto"/>
              <w:jc w:val="center"/>
              <w:rPr>
                <w:rFonts w:ascii="Times New Roman" w:eastAsia="Times New Roman" w:hAnsi="Times New Roman" w:cs="Times New Roman"/>
                <w:sz w:val="24"/>
                <w:szCs w:val="24"/>
                <w:lang w:eastAsia="ru-RU"/>
              </w:rPr>
            </w:pPr>
            <w:proofErr w:type="spellStart"/>
            <w:proofErr w:type="gramStart"/>
            <w:r w:rsidRPr="00776062">
              <w:rPr>
                <w:rFonts w:ascii="Times New Roman" w:eastAsia="Times New Roman" w:hAnsi="Times New Roman" w:cs="Times New Roman"/>
                <w:b/>
                <w:bCs/>
                <w:sz w:val="24"/>
                <w:szCs w:val="24"/>
                <w:lang w:eastAsia="ru-RU"/>
              </w:rPr>
              <w:t>Коммент-арии</w:t>
            </w:r>
            <w:proofErr w:type="spellEnd"/>
            <w:proofErr w:type="gramEnd"/>
          </w:p>
        </w:tc>
      </w:tr>
      <w:tr w:rsidR="00776062" w:rsidRPr="00776062" w:rsidTr="00776062">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 Тяжесть</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 Вероятность</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hideMark/>
          </w:tcPr>
          <w:p w:rsidR="00776062" w:rsidRPr="00776062" w:rsidRDefault="00776062" w:rsidP="00776062">
            <w:pPr>
              <w:spacing w:after="0" w:line="240" w:lineRule="auto"/>
              <w:jc w:val="center"/>
              <w:rPr>
                <w:rFonts w:ascii="Times New Roman" w:eastAsia="Times New Roman" w:hAnsi="Times New Roman" w:cs="Times New Roman"/>
                <w:sz w:val="24"/>
                <w:szCs w:val="24"/>
                <w:lang w:eastAsia="ru-RU"/>
              </w:rPr>
            </w:pPr>
            <w:r w:rsidRPr="00776062">
              <w:rPr>
                <w:rFonts w:ascii="Times New Roman" w:eastAsia="Times New Roman" w:hAnsi="Times New Roman" w:cs="Times New Roman"/>
                <w:b/>
                <w:bCs/>
                <w:sz w:val="24"/>
                <w:szCs w:val="24"/>
                <w:lang w:eastAsia="ru-RU"/>
              </w:rPr>
              <w:t>Уровни риска</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vAlign w:val="center"/>
            <w:hideMark/>
          </w:tcPr>
          <w:p w:rsidR="00776062" w:rsidRPr="00776062" w:rsidRDefault="00776062" w:rsidP="00776062">
            <w:pPr>
              <w:spacing w:after="0" w:line="240" w:lineRule="auto"/>
              <w:rPr>
                <w:rFonts w:ascii="Times New Roman" w:eastAsia="Times New Roman" w:hAnsi="Times New Roman" w:cs="Times New Roman"/>
                <w:sz w:val="24"/>
                <w:szCs w:val="24"/>
                <w:lang w:eastAsia="ru-RU"/>
              </w:rPr>
            </w:pPr>
          </w:p>
        </w:tc>
      </w:tr>
    </w:tbl>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br/>
        <w:t>С этими картами нужно ознакомить работников.</w:t>
      </w:r>
      <w:r w:rsidRPr="00776062">
        <w:rPr>
          <w:rFonts w:ascii="Arial" w:eastAsia="Times New Roman" w:hAnsi="Arial" w:cs="Arial"/>
          <w:color w:val="333333"/>
          <w:sz w:val="21"/>
          <w:szCs w:val="21"/>
          <w:lang w:eastAsia="ru-RU"/>
        </w:rPr>
        <w:br/>
        <w:t xml:space="preserve">И самое главное теперь нам нужно разработать меры по снижению рисков. По крайней </w:t>
      </w:r>
      <w:proofErr w:type="gramStart"/>
      <w:r w:rsidRPr="00776062">
        <w:rPr>
          <w:rFonts w:ascii="Arial" w:eastAsia="Times New Roman" w:hAnsi="Arial" w:cs="Arial"/>
          <w:color w:val="333333"/>
          <w:sz w:val="21"/>
          <w:szCs w:val="21"/>
          <w:lang w:eastAsia="ru-RU"/>
        </w:rPr>
        <w:t>мере</w:t>
      </w:r>
      <w:proofErr w:type="gramEnd"/>
      <w:r w:rsidRPr="00776062">
        <w:rPr>
          <w:rFonts w:ascii="Arial" w:eastAsia="Times New Roman" w:hAnsi="Arial" w:cs="Arial"/>
          <w:color w:val="333333"/>
          <w:sz w:val="21"/>
          <w:szCs w:val="21"/>
          <w:lang w:eastAsia="ru-RU"/>
        </w:rPr>
        <w:t xml:space="preserve"> для рисков высокого и среднего уровней.</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t>Давайте немного помечтаем</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Поскольку оценка риска один из самых важных моментов современной системы управления, мы искренне надеемся на ее адекватное развитие в нормотворчестве. </w:t>
      </w:r>
      <w:r w:rsidRPr="00776062">
        <w:rPr>
          <w:rFonts w:ascii="Arial" w:eastAsia="Times New Roman" w:hAnsi="Arial" w:cs="Arial"/>
          <w:color w:val="333333"/>
          <w:sz w:val="21"/>
          <w:szCs w:val="21"/>
          <w:lang w:eastAsia="ru-RU"/>
        </w:rPr>
        <w:br/>
        <w:t>Предположим, что процедура оценки риска жестко регламентирована (хотя бы по аналогии со специальной оценкой условий труда). Пусть даже проводят ее специально аккредитованные компании, специалисты которых имеют соответствующую подготовку и аккредитацию, и как следствие несут ответственность за свои экспертные заключения. Нагрузка на работодателя в виде оплаты услуг по оценке рисков логично могла бы компенсироваться снижением тарифа страхового взноса не только в случае низких рисков, но и при принятии работодателем достаточных мер по снижению такового. </w:t>
      </w:r>
      <w:r w:rsidRPr="00776062">
        <w:rPr>
          <w:rFonts w:ascii="Arial" w:eastAsia="Times New Roman" w:hAnsi="Arial" w:cs="Arial"/>
          <w:color w:val="333333"/>
          <w:sz w:val="21"/>
          <w:szCs w:val="21"/>
          <w:lang w:eastAsia="ru-RU"/>
        </w:rPr>
        <w:br/>
        <w:t>Это дало бы нам отсутствие необходимости каждый раз при очередной оценке рисков изобретать велосипед, а в самом плохом варианте скатиться к формализму (что сегодня можно наблюдать со многими в принципе хорошими начинаниями).</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b/>
          <w:bCs/>
          <w:color w:val="333333"/>
          <w:sz w:val="28"/>
          <w:lang w:eastAsia="ru-RU"/>
        </w:rPr>
        <w:lastRenderedPageBreak/>
        <w:t>Итог</w:t>
      </w:r>
    </w:p>
    <w:p w:rsidR="00776062" w:rsidRPr="00776062" w:rsidRDefault="00776062" w:rsidP="00776062">
      <w:pPr>
        <w:shd w:val="clear" w:color="auto" w:fill="FFFFFF"/>
        <w:spacing w:after="150"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Подведем итог механизма оценки риска. В упрощенном виде это последовательность следующих действий:</w:t>
      </w:r>
    </w:p>
    <w:p w:rsidR="00776062" w:rsidRPr="00776062" w:rsidRDefault="00776062" w:rsidP="00776062">
      <w:pPr>
        <w:numPr>
          <w:ilvl w:val="0"/>
          <w:numId w:val="4"/>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Выезд на место. Знакомство с рабочими процессами;</w:t>
      </w:r>
    </w:p>
    <w:p w:rsidR="00776062" w:rsidRPr="00776062" w:rsidRDefault="00776062" w:rsidP="00776062">
      <w:pPr>
        <w:numPr>
          <w:ilvl w:val="0"/>
          <w:numId w:val="4"/>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 xml:space="preserve">Разработка </w:t>
      </w:r>
      <w:proofErr w:type="gramStart"/>
      <w:r w:rsidRPr="00776062">
        <w:rPr>
          <w:rFonts w:ascii="Arial" w:eastAsia="Times New Roman" w:hAnsi="Arial" w:cs="Arial"/>
          <w:color w:val="333333"/>
          <w:sz w:val="21"/>
          <w:szCs w:val="21"/>
          <w:lang w:eastAsia="ru-RU"/>
        </w:rPr>
        <w:t>индивидуальных</w:t>
      </w:r>
      <w:proofErr w:type="gramEnd"/>
      <w:r w:rsidRPr="00776062">
        <w:rPr>
          <w:rFonts w:ascii="Arial" w:eastAsia="Times New Roman" w:hAnsi="Arial" w:cs="Arial"/>
          <w:color w:val="333333"/>
          <w:sz w:val="21"/>
          <w:szCs w:val="21"/>
          <w:lang w:eastAsia="ru-RU"/>
        </w:rPr>
        <w:t xml:space="preserve"> </w:t>
      </w:r>
      <w:proofErr w:type="spellStart"/>
      <w:r w:rsidRPr="00776062">
        <w:rPr>
          <w:rFonts w:ascii="Arial" w:eastAsia="Times New Roman" w:hAnsi="Arial" w:cs="Arial"/>
          <w:color w:val="333333"/>
          <w:sz w:val="21"/>
          <w:szCs w:val="21"/>
          <w:lang w:eastAsia="ru-RU"/>
        </w:rPr>
        <w:t>чек-листов</w:t>
      </w:r>
      <w:proofErr w:type="spellEnd"/>
      <w:r w:rsidRPr="00776062">
        <w:rPr>
          <w:rFonts w:ascii="Arial" w:eastAsia="Times New Roman" w:hAnsi="Arial" w:cs="Arial"/>
          <w:color w:val="333333"/>
          <w:sz w:val="21"/>
          <w:szCs w:val="21"/>
          <w:lang w:eastAsia="ru-RU"/>
        </w:rPr>
        <w:t xml:space="preserve"> и </w:t>
      </w:r>
      <w:proofErr w:type="spellStart"/>
      <w:r w:rsidRPr="00776062">
        <w:rPr>
          <w:rFonts w:ascii="Arial" w:eastAsia="Times New Roman" w:hAnsi="Arial" w:cs="Arial"/>
          <w:color w:val="333333"/>
          <w:sz w:val="21"/>
          <w:szCs w:val="21"/>
          <w:lang w:eastAsia="ru-RU"/>
        </w:rPr>
        <w:t>опросников</w:t>
      </w:r>
      <w:proofErr w:type="spellEnd"/>
      <w:r w:rsidRPr="00776062">
        <w:rPr>
          <w:rFonts w:ascii="Arial" w:eastAsia="Times New Roman" w:hAnsi="Arial" w:cs="Arial"/>
          <w:color w:val="333333"/>
          <w:sz w:val="21"/>
          <w:szCs w:val="21"/>
          <w:lang w:eastAsia="ru-RU"/>
        </w:rPr>
        <w:t>;</w:t>
      </w:r>
    </w:p>
    <w:p w:rsidR="00776062" w:rsidRPr="00776062" w:rsidRDefault="00776062" w:rsidP="00776062">
      <w:pPr>
        <w:numPr>
          <w:ilvl w:val="0"/>
          <w:numId w:val="4"/>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Проведение аудита рисков;</w:t>
      </w:r>
    </w:p>
    <w:p w:rsidR="00776062" w:rsidRPr="00776062" w:rsidRDefault="00776062" w:rsidP="00776062">
      <w:pPr>
        <w:numPr>
          <w:ilvl w:val="0"/>
          <w:numId w:val="4"/>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Оформление карт анализа рисков и карт идентификации;</w:t>
      </w:r>
    </w:p>
    <w:p w:rsidR="00776062" w:rsidRPr="00776062" w:rsidRDefault="00776062" w:rsidP="00776062">
      <w:pPr>
        <w:numPr>
          <w:ilvl w:val="0"/>
          <w:numId w:val="4"/>
        </w:numPr>
        <w:shd w:val="clear" w:color="auto" w:fill="FFFFFF"/>
        <w:spacing w:before="100" w:beforeAutospacing="1" w:after="100" w:afterAutospacing="1" w:line="240" w:lineRule="auto"/>
        <w:jc w:val="both"/>
        <w:rPr>
          <w:rFonts w:ascii="Arial" w:eastAsia="Times New Roman" w:hAnsi="Arial" w:cs="Arial"/>
          <w:color w:val="333333"/>
          <w:sz w:val="21"/>
          <w:szCs w:val="21"/>
          <w:lang w:eastAsia="ru-RU"/>
        </w:rPr>
      </w:pPr>
      <w:r w:rsidRPr="00776062">
        <w:rPr>
          <w:rFonts w:ascii="Arial" w:eastAsia="Times New Roman" w:hAnsi="Arial" w:cs="Arial"/>
          <w:color w:val="333333"/>
          <w:sz w:val="21"/>
          <w:szCs w:val="21"/>
          <w:lang w:eastAsia="ru-RU"/>
        </w:rPr>
        <w:t>Разработка плана мероприятий.</w:t>
      </w:r>
    </w:p>
    <w:p w:rsidR="006F2824" w:rsidRDefault="006F2824"/>
    <w:sectPr w:rsidR="006F2824" w:rsidSect="006F28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F1E27"/>
    <w:multiLevelType w:val="multilevel"/>
    <w:tmpl w:val="F51A9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B718D3"/>
    <w:multiLevelType w:val="multilevel"/>
    <w:tmpl w:val="B100C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F9567D"/>
    <w:multiLevelType w:val="multilevel"/>
    <w:tmpl w:val="64F80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126B96"/>
    <w:multiLevelType w:val="multilevel"/>
    <w:tmpl w:val="5732A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76062"/>
    <w:rsid w:val="006A044B"/>
    <w:rsid w:val="006F2824"/>
    <w:rsid w:val="00776062"/>
    <w:rsid w:val="008E078F"/>
    <w:rsid w:val="00DC12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824"/>
  </w:style>
  <w:style w:type="paragraph" w:styleId="2">
    <w:name w:val="heading 2"/>
    <w:basedOn w:val="a"/>
    <w:link w:val="20"/>
    <w:uiPriority w:val="9"/>
    <w:qFormat/>
    <w:rsid w:val="0077606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76062"/>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7760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76062"/>
    <w:rPr>
      <w:b/>
      <w:bCs/>
    </w:rPr>
  </w:style>
  <w:style w:type="character" w:styleId="a5">
    <w:name w:val="Hyperlink"/>
    <w:basedOn w:val="a0"/>
    <w:uiPriority w:val="99"/>
    <w:semiHidden/>
    <w:unhideWhenUsed/>
    <w:rsid w:val="00776062"/>
    <w:rPr>
      <w:color w:val="0000FF"/>
      <w:u w:val="single"/>
    </w:rPr>
  </w:style>
  <w:style w:type="paragraph" w:styleId="a6">
    <w:name w:val="Balloon Text"/>
    <w:basedOn w:val="a"/>
    <w:link w:val="a7"/>
    <w:uiPriority w:val="99"/>
    <w:semiHidden/>
    <w:unhideWhenUsed/>
    <w:rsid w:val="007760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760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3015578">
      <w:bodyDiv w:val="1"/>
      <w:marLeft w:val="0"/>
      <w:marRight w:val="0"/>
      <w:marTop w:val="0"/>
      <w:marBottom w:val="0"/>
      <w:divBdr>
        <w:top w:val="none" w:sz="0" w:space="0" w:color="auto"/>
        <w:left w:val="none" w:sz="0" w:space="0" w:color="auto"/>
        <w:bottom w:val="none" w:sz="0" w:space="0" w:color="auto"/>
        <w:right w:val="none" w:sz="0" w:space="0" w:color="auto"/>
      </w:divBdr>
      <w:divsChild>
        <w:div w:id="1258634839">
          <w:marLeft w:val="0"/>
          <w:marRight w:val="0"/>
          <w:marTop w:val="0"/>
          <w:marBottom w:val="450"/>
          <w:divBdr>
            <w:top w:val="none" w:sz="0" w:space="0" w:color="auto"/>
            <w:left w:val="none" w:sz="0" w:space="0" w:color="auto"/>
            <w:bottom w:val="none" w:sz="0" w:space="0" w:color="auto"/>
            <w:right w:val="none" w:sz="0" w:space="0" w:color="auto"/>
          </w:divBdr>
        </w:div>
        <w:div w:id="714547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okhrana-truda.com/sistema-upravleniya-okhranoj-truda-suot/teoriya-upravleniya-riskom.html" TargetMode="External"/><Relationship Id="rId15" Type="http://schemas.openxmlformats.org/officeDocument/2006/relationships/image" Target="media/image10.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1635</Words>
  <Characters>9324</Characters>
  <Application>Microsoft Office Word</Application>
  <DocSecurity>0</DocSecurity>
  <Lines>77</Lines>
  <Paragraphs>21</Paragraphs>
  <ScaleCrop>false</ScaleCrop>
  <Company/>
  <LinksUpToDate>false</LinksUpToDate>
  <CharactersWithSpaces>10938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Sport2</dc:creator>
  <cp:lastModifiedBy>Sport2</cp:lastModifiedBy>
  <cp:revision>2</cp:revision>
  <dcterms:created xsi:type="dcterms:W3CDTF">2018-12-20T13:59:00Z</dcterms:created>
  <dcterms:modified xsi:type="dcterms:W3CDTF">2018-12-20T14:02:00Z</dcterms:modified>
</cp:coreProperties>
</file>